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130" w:rsidRPr="00827130" w:rsidRDefault="00827130" w:rsidP="00197DCE">
      <w:pPr>
        <w:pStyle w:val="a"/>
      </w:pPr>
      <w:r w:rsidRPr="00827130">
        <w:rPr>
          <w:rFonts w:hint="eastAsia"/>
        </w:rPr>
        <w:t>序論</w:t>
      </w:r>
    </w:p>
    <w:p w:rsidR="0038204E" w:rsidRPr="00805E58" w:rsidRDefault="00322B54" w:rsidP="00322B54">
      <w:pPr>
        <w:pStyle w:val="a0"/>
        <w:spacing w:before="428"/>
      </w:pPr>
      <w:r w:rsidRPr="00322B54">
        <w:rPr>
          <w:rFonts w:hint="eastAsia"/>
        </w:rPr>
        <w:t>自転車道の整備状況</w:t>
      </w:r>
    </w:p>
    <w:p w:rsidR="002467E1" w:rsidRDefault="002467E1" w:rsidP="002467E1">
      <w:r>
        <w:rPr>
          <w:rFonts w:hint="eastAsia"/>
        </w:rPr>
        <w:t xml:space="preserve">　環境への負荷が少なく、健康的な移動手段として、近年、自転車の利用ニーズが高まっている。それに伴い、「自転車が関わる交通事故」が新たな社会問題として注目を集めている。</w:t>
      </w:r>
    </w:p>
    <w:p w:rsidR="00A061F7" w:rsidRDefault="002467E1" w:rsidP="002467E1">
      <w:r>
        <w:rPr>
          <w:rFonts w:hint="eastAsia"/>
        </w:rPr>
        <w:t xml:space="preserve">　自転車関連事故を減らす対策の一つとして、自転車専用レーン</w:t>
      </w:r>
      <w:r w:rsidR="00FD452F">
        <w:rPr>
          <w:rFonts w:hint="eastAsia"/>
        </w:rPr>
        <w:t>（</w:t>
      </w:r>
      <w:r w:rsidR="00FD452F">
        <w:fldChar w:fldCharType="begin"/>
      </w:r>
      <w:r w:rsidR="00FD452F">
        <w:instrText xml:space="preserve"> </w:instrText>
      </w:r>
      <w:r w:rsidR="00FD452F">
        <w:rPr>
          <w:rFonts w:hint="eastAsia"/>
        </w:rPr>
        <w:instrText>REF _Ref444433922 \h</w:instrText>
      </w:r>
      <w:r w:rsidR="00FD452F">
        <w:instrText xml:space="preserve"> </w:instrText>
      </w:r>
      <w:r w:rsidR="00FD452F">
        <w:fldChar w:fldCharType="separate"/>
      </w:r>
      <w:r w:rsidR="001830AA">
        <w:t xml:space="preserve">図 </w:t>
      </w:r>
      <w:r w:rsidR="001830AA">
        <w:rPr>
          <w:noProof/>
        </w:rPr>
        <w:t>1</w:t>
      </w:r>
      <w:r w:rsidR="00FD452F">
        <w:fldChar w:fldCharType="end"/>
      </w:r>
      <w:r w:rsidR="00FD452F">
        <w:rPr>
          <w:rFonts w:hint="eastAsia"/>
        </w:rPr>
        <w:t>）</w:t>
      </w:r>
      <w:r>
        <w:rPr>
          <w:rFonts w:hint="eastAsia"/>
        </w:rPr>
        <w:t>の整備計画が進められているが、その設置には十分な道幅を要するため、すべての幹線道路に自転車専用レーンを設置できる訳ではない。また、自転車レーンに違法駐車する車両、自転車レーンを逆走する自転車も多く、倫理的な問題も依然として残されている。</w:t>
      </w:r>
    </w:p>
    <w:p w:rsidR="009F15FC" w:rsidRDefault="009F15FC" w:rsidP="009F15FC">
      <w:pPr>
        <w:keepNext/>
        <w:jc w:val="center"/>
      </w:pPr>
      <w:r>
        <w:rPr>
          <w:noProof/>
        </w:rPr>
        <w:drawing>
          <wp:inline distT="0" distB="0" distL="0" distR="0" wp14:anchorId="55A202F8" wp14:editId="4358B4A4">
            <wp:extent cx="2385398" cy="15840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自転車レーン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5398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15FC" w:rsidRDefault="009F15FC" w:rsidP="009F15FC">
      <w:pPr>
        <w:pStyle w:val="ab"/>
      </w:pPr>
      <w:bookmarkStart w:id="0" w:name="_Ref444433922"/>
      <w:bookmarkStart w:id="1" w:name="_Ref444433915"/>
      <w:r>
        <w:t xml:space="preserve">図 </w:t>
      </w:r>
      <w:r w:rsidR="00A271AF">
        <w:fldChar w:fldCharType="begin"/>
      </w:r>
      <w:r w:rsidR="00A271AF">
        <w:instrText xml:space="preserve"> SEQ </w:instrText>
      </w:r>
      <w:r w:rsidR="00A271AF">
        <w:instrText>図</w:instrText>
      </w:r>
      <w:r w:rsidR="00A271AF">
        <w:instrText xml:space="preserve"> \* ARABIC </w:instrText>
      </w:r>
      <w:r w:rsidR="00A271AF">
        <w:fldChar w:fldCharType="separate"/>
      </w:r>
      <w:r w:rsidR="001830AA">
        <w:rPr>
          <w:noProof/>
        </w:rPr>
        <w:t>1</w:t>
      </w:r>
      <w:r w:rsidR="00A271AF">
        <w:rPr>
          <w:noProof/>
        </w:rPr>
        <w:fldChar w:fldCharType="end"/>
      </w:r>
      <w:bookmarkEnd w:id="0"/>
      <w:r>
        <w:rPr>
          <w:rFonts w:hint="eastAsia"/>
        </w:rPr>
        <w:t xml:space="preserve">　</w:t>
      </w:r>
      <w:r w:rsidRPr="00813099">
        <w:rPr>
          <w:rFonts w:hint="eastAsia"/>
        </w:rPr>
        <w:t>自転車専用レーン</w:t>
      </w:r>
      <w:bookmarkEnd w:id="1"/>
    </w:p>
    <w:p w:rsidR="009F15FC" w:rsidRDefault="009F15FC" w:rsidP="002467E1"/>
    <w:p w:rsidR="00A73D00" w:rsidRDefault="00A73D00" w:rsidP="002467E1">
      <w:r w:rsidRPr="00A73D00">
        <w:rPr>
          <w:rFonts w:hint="eastAsia"/>
        </w:rPr>
        <w:t xml:space="preserve">　河川沿いには、サイクリングロード</w:t>
      </w:r>
      <w:r w:rsidR="00027981">
        <w:rPr>
          <w:rFonts w:hint="eastAsia"/>
        </w:rPr>
        <w:t>（</w:t>
      </w:r>
      <w:r w:rsidR="00027981">
        <w:fldChar w:fldCharType="begin"/>
      </w:r>
      <w:r w:rsidR="00027981">
        <w:instrText xml:space="preserve"> </w:instrText>
      </w:r>
      <w:r w:rsidR="00027981">
        <w:rPr>
          <w:rFonts w:hint="eastAsia"/>
        </w:rPr>
        <w:instrText>REF _Ref444162334 \h</w:instrText>
      </w:r>
      <w:r w:rsidR="00027981">
        <w:instrText xml:space="preserve"> </w:instrText>
      </w:r>
      <w:r w:rsidR="00027981">
        <w:fldChar w:fldCharType="separate"/>
      </w:r>
      <w:r w:rsidR="001830AA">
        <w:t xml:space="preserve">図 </w:t>
      </w:r>
      <w:r w:rsidR="001830AA">
        <w:rPr>
          <w:noProof/>
        </w:rPr>
        <w:t>2</w:t>
      </w:r>
      <w:r w:rsidR="00027981">
        <w:fldChar w:fldCharType="end"/>
      </w:r>
      <w:r w:rsidR="00027981">
        <w:rPr>
          <w:rFonts w:hint="eastAsia"/>
        </w:rPr>
        <w:t>）</w:t>
      </w:r>
      <w:r w:rsidRPr="00A73D00">
        <w:rPr>
          <w:rFonts w:hint="eastAsia"/>
        </w:rPr>
        <w:t>と呼ばれる専用道が整備されている場合もある。ただし、その実態は「自動車、自動二輪車が通行できない道路」であり、自転車専用道として利用されている訳ではない。このため、こちらは歩行者との接触事故が頻発している。</w:t>
      </w:r>
    </w:p>
    <w:p w:rsidR="008C57FA" w:rsidRDefault="008C57FA" w:rsidP="008C57FA">
      <w:pPr>
        <w:keepNext/>
        <w:jc w:val="center"/>
      </w:pPr>
      <w:r>
        <w:rPr>
          <w:noProof/>
        </w:rPr>
        <w:drawing>
          <wp:inline distT="0" distB="0" distL="0" distR="0" wp14:anchorId="208384CE" wp14:editId="708AA4CE">
            <wp:extent cx="2385398" cy="15840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多摩川C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5398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0DC2" w:rsidRDefault="008C57FA" w:rsidP="008C57FA">
      <w:pPr>
        <w:pStyle w:val="ab"/>
      </w:pPr>
      <w:bookmarkStart w:id="2" w:name="_Ref444162334"/>
      <w:r>
        <w:t xml:space="preserve">図 </w:t>
      </w:r>
      <w:r w:rsidR="00A271AF">
        <w:fldChar w:fldCharType="begin"/>
      </w:r>
      <w:r w:rsidR="00A271AF">
        <w:instrText xml:space="preserve"> SEQ </w:instrText>
      </w:r>
      <w:r w:rsidR="00A271AF">
        <w:instrText>図</w:instrText>
      </w:r>
      <w:r w:rsidR="00A271AF">
        <w:instrText xml:space="preserve"> \* ARABIC </w:instrText>
      </w:r>
      <w:r w:rsidR="00A271AF">
        <w:fldChar w:fldCharType="separate"/>
      </w:r>
      <w:r w:rsidR="001830AA">
        <w:rPr>
          <w:noProof/>
        </w:rPr>
        <w:t>2</w:t>
      </w:r>
      <w:r w:rsidR="00A271AF">
        <w:rPr>
          <w:noProof/>
        </w:rPr>
        <w:fldChar w:fldCharType="end"/>
      </w:r>
      <w:bookmarkEnd w:id="2"/>
      <w:r>
        <w:rPr>
          <w:rFonts w:hint="eastAsia"/>
        </w:rPr>
        <w:t xml:space="preserve">　多摩川サイクリングロード</w:t>
      </w:r>
    </w:p>
    <w:p w:rsidR="00380D66" w:rsidRDefault="00380D66" w:rsidP="00380D66">
      <w:pPr>
        <w:pStyle w:val="a0"/>
        <w:spacing w:before="428"/>
      </w:pPr>
      <w:r>
        <w:lastRenderedPageBreak/>
        <w:t>自転車関連事故の現状</w:t>
      </w:r>
    </w:p>
    <w:p w:rsidR="00380D66" w:rsidRDefault="00380D66" w:rsidP="00380D66">
      <w:r>
        <w:rPr>
          <w:rFonts w:hint="eastAsia"/>
        </w:rPr>
        <w:t xml:space="preserve">　警察庁の発表によると、自転車関連事故の発生件数そのものは減少傾向にある。</w:t>
      </w:r>
      <w:r>
        <w:t>2004年と2014年のデータを比較すると、自転車関連事故の発生件数は約41.2％の減少、死亡事故の発生件数は約37.7％の減少、といずれも大幅な減少を示している。</w:t>
      </w:r>
    </w:p>
    <w:p w:rsidR="00380D66" w:rsidRPr="00FB3206" w:rsidRDefault="00392DCF" w:rsidP="00A271AF">
      <w:pPr>
        <w:jc w:val="center"/>
      </w:pPr>
      <w:bookmarkStart w:id="3" w:name="_GoBack"/>
      <w:r>
        <w:rPr>
          <w:noProof/>
        </w:rPr>
        <w:drawing>
          <wp:inline distT="0" distB="0" distL="0" distR="0" wp14:anchorId="29FCFF72" wp14:editId="4A138B21">
            <wp:extent cx="4852670" cy="2425148"/>
            <wp:effectExtent l="0" t="0" r="5080" b="13335"/>
            <wp:docPr id="4" name="グラフ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End w:id="3"/>
    </w:p>
    <w:p w:rsidR="00924243" w:rsidRDefault="00924243" w:rsidP="00380D66"/>
    <w:p w:rsidR="00380D66" w:rsidRDefault="00380D66" w:rsidP="00380D66">
      <w:r>
        <w:rPr>
          <w:rFonts w:hint="eastAsia"/>
        </w:rPr>
        <w:t xml:space="preserve">　一方、交通事故全体に占める自転車関連事故の割合は、ここ</w:t>
      </w:r>
      <w:r>
        <w:t>10年間ほぼ横ばいであり、おおよそ20％前後の構成率となっている。つまり、交通事故の5件に1件は「自転車が関連する事故」という結果になる。</w:t>
      </w:r>
    </w:p>
    <w:p w:rsidR="00380D66" w:rsidRDefault="002409D9" w:rsidP="00A271AF">
      <w:pPr>
        <w:jc w:val="center"/>
      </w:pPr>
      <w:r>
        <w:rPr>
          <w:noProof/>
        </w:rPr>
        <w:drawing>
          <wp:inline distT="0" distB="0" distL="0" distR="0">
            <wp:extent cx="4134485" cy="2194560"/>
            <wp:effectExtent l="0" t="0" r="18415" b="15240"/>
            <wp:docPr id="7" name="グラフ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F4606" w:rsidRPr="008C57FA" w:rsidRDefault="005F4606" w:rsidP="00380D66"/>
    <w:sectPr w:rsidR="005F4606" w:rsidRPr="008C57FA" w:rsidSect="00A11CBC">
      <w:pgSz w:w="11906" w:h="16838" w:code="9"/>
      <w:pgMar w:top="1985" w:right="1701" w:bottom="1985" w:left="1701" w:header="851" w:footer="992" w:gutter="0"/>
      <w:cols w:space="425"/>
      <w:docGrid w:type="linesAndChars" w:linePitch="4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309CE"/>
    <w:multiLevelType w:val="multilevel"/>
    <w:tmpl w:val="7CF659EA"/>
    <w:lvl w:ilvl="0">
      <w:start w:val="1"/>
      <w:numFmt w:val="decimal"/>
      <w:pStyle w:val="a"/>
      <w:suff w:val="nothing"/>
      <w:lvlText w:val="第%1章　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rawingGridVerticalSpacing w:val="21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31"/>
    <w:rsid w:val="00027981"/>
    <w:rsid w:val="000B5115"/>
    <w:rsid w:val="000C50E6"/>
    <w:rsid w:val="000E7D0B"/>
    <w:rsid w:val="000F3C2A"/>
    <w:rsid w:val="001309EA"/>
    <w:rsid w:val="001830AA"/>
    <w:rsid w:val="00197DCE"/>
    <w:rsid w:val="00222F4E"/>
    <w:rsid w:val="002409D9"/>
    <w:rsid w:val="002467E1"/>
    <w:rsid w:val="00322B54"/>
    <w:rsid w:val="00330DC2"/>
    <w:rsid w:val="00380D66"/>
    <w:rsid w:val="0038204E"/>
    <w:rsid w:val="00392DCF"/>
    <w:rsid w:val="003B0994"/>
    <w:rsid w:val="003E34A0"/>
    <w:rsid w:val="00414966"/>
    <w:rsid w:val="00456A5F"/>
    <w:rsid w:val="004757B8"/>
    <w:rsid w:val="00485553"/>
    <w:rsid w:val="004873C0"/>
    <w:rsid w:val="004A0342"/>
    <w:rsid w:val="004D4B65"/>
    <w:rsid w:val="00532AA7"/>
    <w:rsid w:val="005F4606"/>
    <w:rsid w:val="00605610"/>
    <w:rsid w:val="00696023"/>
    <w:rsid w:val="006B0242"/>
    <w:rsid w:val="00701AD4"/>
    <w:rsid w:val="007F2F3C"/>
    <w:rsid w:val="00805E58"/>
    <w:rsid w:val="00824E61"/>
    <w:rsid w:val="00827130"/>
    <w:rsid w:val="00843CFE"/>
    <w:rsid w:val="0086447E"/>
    <w:rsid w:val="008C57FA"/>
    <w:rsid w:val="00924243"/>
    <w:rsid w:val="009F15FC"/>
    <w:rsid w:val="00A061F7"/>
    <w:rsid w:val="00A11CBC"/>
    <w:rsid w:val="00A271AF"/>
    <w:rsid w:val="00A645CF"/>
    <w:rsid w:val="00A73D00"/>
    <w:rsid w:val="00AC6931"/>
    <w:rsid w:val="00B97077"/>
    <w:rsid w:val="00B9733A"/>
    <w:rsid w:val="00CF0F7D"/>
    <w:rsid w:val="00D303A2"/>
    <w:rsid w:val="00D74818"/>
    <w:rsid w:val="00EB39B3"/>
    <w:rsid w:val="00EC25BC"/>
    <w:rsid w:val="00F343F3"/>
    <w:rsid w:val="00FB3206"/>
    <w:rsid w:val="00FD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BA03F9-00EA-4A42-A10F-AB9AAF02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2">
    <w:name w:val="Normal"/>
    <w:qFormat/>
    <w:rsid w:val="00701AD4"/>
    <w:pPr>
      <w:widowControl w:val="0"/>
      <w:jc w:val="both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0">
    <w:name w:val="節見出し"/>
    <w:basedOn w:val="a2"/>
    <w:link w:val="a6"/>
    <w:uiPriority w:val="2"/>
    <w:qFormat/>
    <w:rsid w:val="00532AA7"/>
    <w:pPr>
      <w:keepNext/>
      <w:numPr>
        <w:ilvl w:val="1"/>
        <w:numId w:val="1"/>
      </w:numPr>
      <w:spacing w:beforeLines="100" w:before="100"/>
      <w:outlineLvl w:val="1"/>
    </w:pPr>
    <w:rPr>
      <w:rFonts w:eastAsia="游ゴシック Medium"/>
      <w:b/>
      <w:sz w:val="28"/>
    </w:rPr>
  </w:style>
  <w:style w:type="character" w:customStyle="1" w:styleId="a6">
    <w:name w:val="節見出し (文字)"/>
    <w:basedOn w:val="a3"/>
    <w:link w:val="a0"/>
    <w:uiPriority w:val="2"/>
    <w:rsid w:val="00532AA7"/>
    <w:rPr>
      <w:rFonts w:eastAsia="游ゴシック Medium"/>
      <w:b/>
      <w:sz w:val="28"/>
    </w:rPr>
  </w:style>
  <w:style w:type="character" w:customStyle="1" w:styleId="a7">
    <w:name w:val="参考文献番号"/>
    <w:basedOn w:val="a3"/>
    <w:uiPriority w:val="11"/>
    <w:qFormat/>
    <w:rsid w:val="00696023"/>
    <w:rPr>
      <w:rFonts w:ascii="游ゴシック Medium" w:eastAsia="游ゴシック Medium" w:hAnsi="游ゴシック Medium"/>
      <w:vertAlign w:val="superscript"/>
    </w:rPr>
  </w:style>
  <w:style w:type="paragraph" w:customStyle="1" w:styleId="a">
    <w:name w:val="章見出し"/>
    <w:basedOn w:val="a2"/>
    <w:link w:val="a8"/>
    <w:uiPriority w:val="1"/>
    <w:qFormat/>
    <w:rsid w:val="00532AA7"/>
    <w:pPr>
      <w:pageBreakBefore/>
      <w:numPr>
        <w:numId w:val="1"/>
      </w:numPr>
      <w:jc w:val="center"/>
      <w:outlineLvl w:val="0"/>
    </w:pPr>
    <w:rPr>
      <w:rFonts w:ascii="游ゴシック Medium" w:eastAsia="游ゴシック Medium" w:hAnsi="游ゴシック Medium"/>
      <w:b/>
      <w:sz w:val="36"/>
    </w:rPr>
  </w:style>
  <w:style w:type="paragraph" w:customStyle="1" w:styleId="a1">
    <w:name w:val="項見出し"/>
    <w:basedOn w:val="a2"/>
    <w:link w:val="a9"/>
    <w:uiPriority w:val="3"/>
    <w:qFormat/>
    <w:rsid w:val="00456A5F"/>
    <w:pPr>
      <w:keepNext/>
      <w:numPr>
        <w:ilvl w:val="2"/>
        <w:numId w:val="1"/>
      </w:numPr>
      <w:spacing w:beforeLines="50" w:before="50"/>
      <w:outlineLvl w:val="2"/>
    </w:pPr>
    <w:rPr>
      <w:rFonts w:ascii="游ゴシック Medium" w:eastAsia="游ゴシック Medium" w:hAnsi="游ゴシック Medium"/>
      <w:b/>
    </w:rPr>
  </w:style>
  <w:style w:type="character" w:customStyle="1" w:styleId="a8">
    <w:name w:val="章見出し (文字)"/>
    <w:basedOn w:val="a3"/>
    <w:link w:val="a"/>
    <w:uiPriority w:val="1"/>
    <w:rsid w:val="00532AA7"/>
    <w:rPr>
      <w:rFonts w:ascii="游ゴシック Medium" w:eastAsia="游ゴシック Medium" w:hAnsi="游ゴシック Medium"/>
      <w:b/>
      <w:sz w:val="36"/>
    </w:rPr>
  </w:style>
  <w:style w:type="character" w:customStyle="1" w:styleId="aa">
    <w:name w:val="キーワード強調"/>
    <w:basedOn w:val="a3"/>
    <w:uiPriority w:val="10"/>
    <w:qFormat/>
    <w:rsid w:val="00D74818"/>
    <w:rPr>
      <w:rFonts w:ascii="游ゴシック Light" w:eastAsia="游ゴシック Light" w:hAnsi="游ゴシック Light"/>
      <w:b/>
    </w:rPr>
  </w:style>
  <w:style w:type="character" w:customStyle="1" w:styleId="a9">
    <w:name w:val="項見出し (文字)"/>
    <w:basedOn w:val="a3"/>
    <w:link w:val="a1"/>
    <w:uiPriority w:val="3"/>
    <w:rsid w:val="00456A5F"/>
    <w:rPr>
      <w:rFonts w:ascii="游ゴシック Medium" w:eastAsia="游ゴシック Medium" w:hAnsi="游ゴシック Medium"/>
      <w:b/>
    </w:rPr>
  </w:style>
  <w:style w:type="paragraph" w:styleId="ab">
    <w:name w:val="caption"/>
    <w:basedOn w:val="a2"/>
    <w:next w:val="a2"/>
    <w:uiPriority w:val="35"/>
    <w:unhideWhenUsed/>
    <w:qFormat/>
    <w:rsid w:val="003E34A0"/>
    <w:pPr>
      <w:jc w:val="center"/>
    </w:pPr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2459;&#12483;&#12488;&#12471;&#12473;&#12486;&#12512;\1602_&#20808;&#36649;Word2016&#35542;&#25991;\Word_File\3-3-1&#12464;&#12521;&#12501;&#12398;&#20316;&#25104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Sheet1!$C$4</c:f>
              <c:strCache>
                <c:ptCount val="1"/>
                <c:pt idx="0">
                  <c:v>事故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Sheet1!$B$5:$B$15</c:f>
              <c:strCache>
                <c:ptCount val="11"/>
                <c:pt idx="0">
                  <c:v>2004年</c:v>
                </c:pt>
                <c:pt idx="1">
                  <c:v>2005年</c:v>
                </c:pt>
                <c:pt idx="2">
                  <c:v>2006年</c:v>
                </c:pt>
                <c:pt idx="3">
                  <c:v>2007年</c:v>
                </c:pt>
                <c:pt idx="4">
                  <c:v>2008年</c:v>
                </c:pt>
                <c:pt idx="5">
                  <c:v>2009年</c:v>
                </c:pt>
                <c:pt idx="6">
                  <c:v>2010年</c:v>
                </c:pt>
                <c:pt idx="7">
                  <c:v>2011年</c:v>
                </c:pt>
                <c:pt idx="8">
                  <c:v>2012年</c:v>
                </c:pt>
                <c:pt idx="9">
                  <c:v>2013年</c:v>
                </c:pt>
                <c:pt idx="10">
                  <c:v>2014年</c:v>
                </c:pt>
              </c:strCache>
            </c:strRef>
          </c:cat>
          <c:val>
            <c:numRef>
              <c:f>Sheet1!$C$5:$C$15</c:f>
              <c:numCache>
                <c:formatCode>#,##0_ </c:formatCode>
                <c:ptCount val="11"/>
                <c:pt idx="0">
                  <c:v>188338</c:v>
                </c:pt>
                <c:pt idx="1">
                  <c:v>183993</c:v>
                </c:pt>
                <c:pt idx="2">
                  <c:v>174469</c:v>
                </c:pt>
                <c:pt idx="3">
                  <c:v>171169</c:v>
                </c:pt>
                <c:pt idx="4">
                  <c:v>162662</c:v>
                </c:pt>
                <c:pt idx="5">
                  <c:v>156485</c:v>
                </c:pt>
                <c:pt idx="6">
                  <c:v>151681</c:v>
                </c:pt>
                <c:pt idx="7">
                  <c:v>144058</c:v>
                </c:pt>
                <c:pt idx="8">
                  <c:v>132048</c:v>
                </c:pt>
                <c:pt idx="9">
                  <c:v>121040</c:v>
                </c:pt>
                <c:pt idx="10">
                  <c:v>109269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1B7-44D9-BA0B-B9955597EDC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04105008"/>
        <c:axId val="404104680"/>
      </c:barChart>
      <c:lineChart>
        <c:grouping val="standard"/>
        <c:varyColors val="0"/>
        <c:ser>
          <c:idx val="1"/>
          <c:order val="1"/>
          <c:tx>
            <c:strRef>
              <c:f>Sheet1!$D$4</c:f>
              <c:strCache>
                <c:ptCount val="1"/>
                <c:pt idx="0">
                  <c:v>死亡事故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circle"/>
            <c:size val="7"/>
            <c:spPr>
              <a:solidFill>
                <a:srgbClr val="FF0000"/>
              </a:solidFill>
              <a:ln w="9525">
                <a:noFill/>
              </a:ln>
              <a:effectLst/>
            </c:spPr>
          </c:marker>
          <c:cat>
            <c:strRef>
              <c:f>Sheet1!$B$5:$B$15</c:f>
              <c:strCache>
                <c:ptCount val="11"/>
                <c:pt idx="0">
                  <c:v>2004年</c:v>
                </c:pt>
                <c:pt idx="1">
                  <c:v>2005年</c:v>
                </c:pt>
                <c:pt idx="2">
                  <c:v>2006年</c:v>
                </c:pt>
                <c:pt idx="3">
                  <c:v>2007年</c:v>
                </c:pt>
                <c:pt idx="4">
                  <c:v>2008年</c:v>
                </c:pt>
                <c:pt idx="5">
                  <c:v>2009年</c:v>
                </c:pt>
                <c:pt idx="6">
                  <c:v>2010年</c:v>
                </c:pt>
                <c:pt idx="7">
                  <c:v>2011年</c:v>
                </c:pt>
                <c:pt idx="8">
                  <c:v>2012年</c:v>
                </c:pt>
                <c:pt idx="9">
                  <c:v>2013年</c:v>
                </c:pt>
                <c:pt idx="10">
                  <c:v>2014年</c:v>
                </c:pt>
              </c:strCache>
            </c:strRef>
          </c:cat>
          <c:val>
            <c:numRef>
              <c:f>Sheet1!$D$5:$D$15</c:f>
              <c:numCache>
                <c:formatCode>#,##0_ </c:formatCode>
                <c:ptCount val="11"/>
                <c:pt idx="0">
                  <c:v>870</c:v>
                </c:pt>
                <c:pt idx="1">
                  <c:v>854</c:v>
                </c:pt>
                <c:pt idx="2">
                  <c:v>823</c:v>
                </c:pt>
                <c:pt idx="3">
                  <c:v>751</c:v>
                </c:pt>
                <c:pt idx="4">
                  <c:v>730</c:v>
                </c:pt>
                <c:pt idx="5">
                  <c:v>706</c:v>
                </c:pt>
                <c:pt idx="6">
                  <c:v>665</c:v>
                </c:pt>
                <c:pt idx="7">
                  <c:v>640</c:v>
                </c:pt>
                <c:pt idx="8">
                  <c:v>562</c:v>
                </c:pt>
                <c:pt idx="9">
                  <c:v>603</c:v>
                </c:pt>
                <c:pt idx="10">
                  <c:v>542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1B7-44D9-BA0B-B9955597EDC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0275896"/>
        <c:axId val="410277208"/>
      </c:lineChart>
      <c:catAx>
        <c:axId val="404105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04104680"/>
        <c:crosses val="autoZero"/>
        <c:auto val="1"/>
        <c:lblAlgn val="ctr"/>
        <c:lblOffset val="100"/>
        <c:noMultiLvlLbl val="0"/>
      </c:catAx>
      <c:valAx>
        <c:axId val="4041046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eaVert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/>
                  <a:t>事故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eaVert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#,##0_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04105008"/>
        <c:crosses val="autoZero"/>
        <c:crossBetween val="between"/>
        <c:majorUnit val="25000"/>
      </c:valAx>
      <c:valAx>
        <c:axId val="410277208"/>
        <c:scaling>
          <c:orientation val="minMax"/>
          <c:max val="1200"/>
        </c:scaling>
        <c:delete val="0"/>
        <c:axPos val="r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eaVert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/>
                  <a:t>死亡事故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eaVert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#,##0_ 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10275896"/>
        <c:crosses val="max"/>
        <c:crossBetween val="between"/>
        <c:majorUnit val="150"/>
      </c:valAx>
      <c:catAx>
        <c:axId val="41027589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410277208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事故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Sheet1!$A$2:$A$12</c:f>
              <c:strCache>
                <c:ptCount val="11"/>
                <c:pt idx="0">
                  <c:v>2004年</c:v>
                </c:pt>
                <c:pt idx="1">
                  <c:v>2005年</c:v>
                </c:pt>
                <c:pt idx="2">
                  <c:v>2006年</c:v>
                </c:pt>
                <c:pt idx="3">
                  <c:v>2007年</c:v>
                </c:pt>
                <c:pt idx="4">
                  <c:v>2008年</c:v>
                </c:pt>
                <c:pt idx="5">
                  <c:v>2009年</c:v>
                </c:pt>
                <c:pt idx="6">
                  <c:v>2010年</c:v>
                </c:pt>
                <c:pt idx="7">
                  <c:v>2011年</c:v>
                </c:pt>
                <c:pt idx="8">
                  <c:v>2012年</c:v>
                </c:pt>
                <c:pt idx="9">
                  <c:v>2013年</c:v>
                </c:pt>
                <c:pt idx="10">
                  <c:v>2014年</c:v>
                </c:pt>
              </c:strCache>
            </c:strRef>
          </c:cat>
          <c:val>
            <c:numRef>
              <c:f>Sheet1!$B$2:$B$12</c:f>
              <c:numCache>
                <c:formatCode>General</c:formatCode>
                <c:ptCount val="11"/>
                <c:pt idx="0">
                  <c:v>19.8</c:v>
                </c:pt>
                <c:pt idx="1">
                  <c:v>19.7</c:v>
                </c:pt>
                <c:pt idx="2">
                  <c:v>19.7</c:v>
                </c:pt>
                <c:pt idx="3">
                  <c:v>20.6</c:v>
                </c:pt>
                <c:pt idx="4">
                  <c:v>21.2</c:v>
                </c:pt>
                <c:pt idx="5">
                  <c:v>21.2</c:v>
                </c:pt>
                <c:pt idx="6">
                  <c:v>20.9</c:v>
                </c:pt>
                <c:pt idx="7">
                  <c:v>20.8</c:v>
                </c:pt>
                <c:pt idx="8">
                  <c:v>19.899999999999999</c:v>
                </c:pt>
                <c:pt idx="9">
                  <c:v>19.2</c:v>
                </c:pt>
                <c:pt idx="10">
                  <c:v>19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8AA-4DE6-948E-41307E2272C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死亡事故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Sheet1!$A$2:$A$12</c:f>
              <c:strCache>
                <c:ptCount val="11"/>
                <c:pt idx="0">
                  <c:v>2004年</c:v>
                </c:pt>
                <c:pt idx="1">
                  <c:v>2005年</c:v>
                </c:pt>
                <c:pt idx="2">
                  <c:v>2006年</c:v>
                </c:pt>
                <c:pt idx="3">
                  <c:v>2007年</c:v>
                </c:pt>
                <c:pt idx="4">
                  <c:v>2008年</c:v>
                </c:pt>
                <c:pt idx="5">
                  <c:v>2009年</c:v>
                </c:pt>
                <c:pt idx="6">
                  <c:v>2010年</c:v>
                </c:pt>
                <c:pt idx="7">
                  <c:v>2011年</c:v>
                </c:pt>
                <c:pt idx="8">
                  <c:v>2012年</c:v>
                </c:pt>
                <c:pt idx="9">
                  <c:v>2013年</c:v>
                </c:pt>
                <c:pt idx="10">
                  <c:v>2014年</c:v>
                </c:pt>
              </c:strCache>
            </c:strRef>
          </c:cat>
          <c:val>
            <c:numRef>
              <c:f>Sheet1!$C$2:$C$12</c:f>
              <c:numCache>
                <c:formatCode>General</c:formatCode>
                <c:ptCount val="11"/>
                <c:pt idx="0">
                  <c:v>12.2</c:v>
                </c:pt>
                <c:pt idx="1">
                  <c:v>12.8</c:v>
                </c:pt>
                <c:pt idx="2">
                  <c:v>13.3</c:v>
                </c:pt>
                <c:pt idx="3">
                  <c:v>13.4</c:v>
                </c:pt>
                <c:pt idx="4">
                  <c:v>14.4</c:v>
                </c:pt>
                <c:pt idx="5">
                  <c:v>14.6</c:v>
                </c:pt>
                <c:pt idx="6">
                  <c:v>13.9</c:v>
                </c:pt>
                <c:pt idx="7">
                  <c:v>14.1</c:v>
                </c:pt>
                <c:pt idx="8">
                  <c:v>13.1</c:v>
                </c:pt>
                <c:pt idx="9">
                  <c:v>14.1</c:v>
                </c:pt>
                <c:pt idx="10">
                  <c:v>13.5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8AA-4DE6-948E-41307E2272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4101896"/>
        <c:axId val="414108784"/>
      </c:lineChart>
      <c:catAx>
        <c:axId val="4141018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14108784"/>
        <c:crosses val="autoZero"/>
        <c:auto val="1"/>
        <c:lblAlgn val="ctr"/>
        <c:lblOffset val="100"/>
        <c:noMultiLvlLbl val="0"/>
      </c:catAx>
      <c:valAx>
        <c:axId val="4141087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141018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1A7A0-B4A6-4ED6-BC99-026A1E538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54</cp:revision>
  <dcterms:created xsi:type="dcterms:W3CDTF">2016-02-17T15:19:00Z</dcterms:created>
  <dcterms:modified xsi:type="dcterms:W3CDTF">2016-02-28T06:37:00Z</dcterms:modified>
</cp:coreProperties>
</file>